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C30" w:rsidRDefault="004031B1" w:rsidP="00C24C62">
      <w:pPr>
        <w:pStyle w:val="Ttulo1"/>
        <w:jc w:val="both"/>
      </w:pPr>
      <w:r>
        <w:t>INSTRUCCIONES PARA LA CUMPLIMENTACIÓN DEL FORMULARIO DE SOLICITUD DE</w:t>
      </w:r>
      <w:r w:rsidR="0088508D">
        <w:t xml:space="preserve">L PROCEDIMIENTO: </w:t>
      </w:r>
      <w:r w:rsidR="0088508D" w:rsidRPr="0088508D">
        <w:t>Incompatibilidades - Autorizaciones y reconocimientos de compatibilidad para una segunda actividad</w:t>
      </w:r>
    </w:p>
    <w:p w:rsidR="004031B1" w:rsidRDefault="004031B1" w:rsidP="00C24C62">
      <w:pPr>
        <w:pStyle w:val="Ttulo1"/>
        <w:jc w:val="both"/>
      </w:pPr>
      <w:r>
        <w:t>Objeto del documento</w:t>
      </w:r>
    </w:p>
    <w:p w:rsidR="00B3494F" w:rsidRDefault="004031B1" w:rsidP="00C24C62">
      <w:pPr>
        <w:jc w:val="both"/>
      </w:pPr>
      <w:r w:rsidRPr="008F47F9">
        <w:t xml:space="preserve">Este documento contiene información importante sobre el </w:t>
      </w:r>
      <w:r w:rsidR="0088508D">
        <w:t>procedimiento “</w:t>
      </w:r>
      <w:r w:rsidR="0088508D" w:rsidRPr="0088508D">
        <w:rPr>
          <w:i/>
        </w:rPr>
        <w:t>Incompatibilidades - Autorizaciones y reconocimientos de compatibilidad para una segunda actividad</w:t>
      </w:r>
      <w:r w:rsidR="0088508D">
        <w:t>”</w:t>
      </w:r>
      <w:r>
        <w:t>.</w:t>
      </w:r>
      <w:r w:rsidRPr="008F47F9">
        <w:t xml:space="preserve"> Así mismo describe los aspectos básicos para poder cumplimentar el </w:t>
      </w:r>
      <w:r>
        <w:t>formulario de solicitud correctamente para cada uno de los casos previstos.</w:t>
      </w:r>
    </w:p>
    <w:p w:rsidR="004031B1" w:rsidRDefault="004031B1" w:rsidP="00C24C62">
      <w:pPr>
        <w:pStyle w:val="Ttulo1"/>
        <w:jc w:val="both"/>
      </w:pPr>
      <w:r>
        <w:t>Cumplimentar el formulario de solicitud</w:t>
      </w:r>
    </w:p>
    <w:p w:rsidR="00DE60C0" w:rsidRDefault="004031B1" w:rsidP="00C24C62">
      <w:pPr>
        <w:jc w:val="both"/>
      </w:pPr>
      <w:r>
        <w:t xml:space="preserve">El formulario de solicitud está diseñado de forma que los datos necesarios </w:t>
      </w:r>
      <w:r w:rsidR="00AA0416">
        <w:t xml:space="preserve">se distribuyen </w:t>
      </w:r>
      <w:r>
        <w:t xml:space="preserve">en distintas solapas o pestañas. En cada una de ellas, y dependiendo de su selección personal, </w:t>
      </w:r>
      <w:r w:rsidR="00022D4B" w:rsidRPr="00022D4B">
        <w:t>tendrá</w:t>
      </w:r>
      <w:r w:rsidRPr="00022D4B">
        <w:t xml:space="preserve"> que </w:t>
      </w:r>
      <w:r w:rsidR="00B87D1A" w:rsidRPr="00022D4B">
        <w:t>rellenar datos para cumplimentar</w:t>
      </w:r>
      <w:r w:rsidRPr="00022D4B">
        <w:t xml:space="preserve"> la solicitud</w:t>
      </w:r>
      <w:r>
        <w:t xml:space="preserve">. </w:t>
      </w:r>
      <w:r w:rsidRPr="00F327EE">
        <w:t xml:space="preserve">Podrá </w:t>
      </w:r>
      <w:r>
        <w:t>desplazarse por ellas haciendo uso de los botones “</w:t>
      </w:r>
      <w:r w:rsidRPr="00D702D5">
        <w:rPr>
          <w:i/>
        </w:rPr>
        <w:t>Siguiente</w:t>
      </w:r>
      <w:r>
        <w:t>” y/o “</w:t>
      </w:r>
      <w:r w:rsidRPr="00D702D5">
        <w:rPr>
          <w:i/>
        </w:rPr>
        <w:t>Anterior</w:t>
      </w:r>
      <w:r>
        <w:t xml:space="preserve">” o bien haciendo </w:t>
      </w:r>
      <w:r w:rsidRPr="00F327EE">
        <w:rPr>
          <w:i/>
        </w:rPr>
        <w:t>clic</w:t>
      </w:r>
      <w:r w:rsidRPr="00F327EE">
        <w:t xml:space="preserve"> directamente sobre el nombre </w:t>
      </w:r>
      <w:r>
        <w:t>que identifica cada</w:t>
      </w:r>
      <w:r w:rsidRPr="00F327EE">
        <w:t xml:space="preserve"> solapa.</w:t>
      </w:r>
    </w:p>
    <w:p w:rsidR="00B8031D" w:rsidRDefault="00B8031D" w:rsidP="00B8031D">
      <w:pPr>
        <w:pStyle w:val="Ttulo1"/>
        <w:jc w:val="both"/>
      </w:pPr>
      <w:r w:rsidRPr="00B8031D">
        <w:t>Guardar y recuperar datos introducidos en el formulario</w:t>
      </w:r>
    </w:p>
    <w:p w:rsidR="0014558F" w:rsidRDefault="0014558F" w:rsidP="00C24C62">
      <w:pPr>
        <w:jc w:val="both"/>
      </w:pPr>
      <w:r>
        <w:t>Recuerde que</w:t>
      </w:r>
      <w:r w:rsidR="00B8031D">
        <w:t>, e</w:t>
      </w:r>
      <w:r w:rsidR="00B8031D" w:rsidRPr="0008720A">
        <w:t>n cada una de las solapas existentes</w:t>
      </w:r>
      <w:r w:rsidR="00B8031D">
        <w:t>,</w:t>
      </w:r>
      <w:r>
        <w:t xml:space="preserve"> dispone de una utilidad que le permite guardar temporalmente </w:t>
      </w:r>
      <w:r w:rsidR="00B8031D" w:rsidRPr="0008720A">
        <w:t xml:space="preserve">los datos introducidos </w:t>
      </w:r>
      <w:r w:rsidR="00B8031D">
        <w:t>hasta ese momento</w:t>
      </w:r>
      <w:r w:rsidR="00B8031D">
        <w:t xml:space="preserve">, </w:t>
      </w:r>
      <w:r w:rsidR="00B8031D" w:rsidRPr="0008720A">
        <w:t xml:space="preserve">información </w:t>
      </w:r>
      <w:r w:rsidR="00B8031D">
        <w:t xml:space="preserve">que podrá ser recuperada </w:t>
      </w:r>
      <w:r>
        <w:t>más adelante sin tener que introducirla de nuevo. Siga los pasos indicados en la pantalla si desea hacer uso de dicha utilidad.</w:t>
      </w:r>
    </w:p>
    <w:p w:rsidR="0014558F" w:rsidRDefault="009E451F" w:rsidP="00C24C62">
      <w:pPr>
        <w:jc w:val="both"/>
      </w:pPr>
      <w:r w:rsidRPr="00BA56BD">
        <w:rPr>
          <w:noProof/>
          <w:lang w:eastAsia="es-ES"/>
        </w:rPr>
        <w:drawing>
          <wp:inline distT="0" distB="0" distL="0" distR="0" wp14:anchorId="3AC8F50A" wp14:editId="4A6D5381">
            <wp:extent cx="5391150" cy="2194560"/>
            <wp:effectExtent l="0" t="0" r="0" b="0"/>
            <wp:docPr id="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1150" cy="2194560"/>
                    </a:xfrm>
                    <a:prstGeom prst="rect">
                      <a:avLst/>
                    </a:prstGeom>
                    <a:noFill/>
                    <a:ln>
                      <a:noFill/>
                    </a:ln>
                  </pic:spPr>
                </pic:pic>
              </a:graphicData>
            </a:graphic>
          </wp:inline>
        </w:drawing>
      </w:r>
    </w:p>
    <w:p w:rsidR="00B8031D" w:rsidRDefault="00B8031D" w:rsidP="00C24C62">
      <w:pPr>
        <w:pStyle w:val="Ttulo2"/>
        <w:jc w:val="both"/>
      </w:pPr>
    </w:p>
    <w:p w:rsidR="00B8031D" w:rsidRDefault="00B8031D" w:rsidP="00C24C62">
      <w:pPr>
        <w:pStyle w:val="Ttulo2"/>
        <w:jc w:val="both"/>
      </w:pPr>
    </w:p>
    <w:p w:rsidR="00B8031D" w:rsidRDefault="00B8031D" w:rsidP="00C24C62">
      <w:pPr>
        <w:pStyle w:val="Ttulo2"/>
        <w:jc w:val="both"/>
      </w:pPr>
    </w:p>
    <w:p w:rsidR="004031B1" w:rsidRDefault="004031B1" w:rsidP="00C24C62">
      <w:pPr>
        <w:pStyle w:val="Ttulo2"/>
        <w:jc w:val="both"/>
      </w:pPr>
      <w:bookmarkStart w:id="0" w:name="_GoBack"/>
      <w:bookmarkEnd w:id="0"/>
      <w:r>
        <w:t>Solapa “Información”</w:t>
      </w:r>
    </w:p>
    <w:p w:rsidR="004031B1" w:rsidRDefault="004031B1" w:rsidP="00C24C62">
      <w:pPr>
        <w:jc w:val="both"/>
      </w:pPr>
      <w:r>
        <w:t xml:space="preserve">Es la solapa que se muestra cuando accede al formulario. Contiene un texto informativo sobre el objeto de este formulario y un enlace al presente </w:t>
      </w:r>
      <w:r w:rsidR="00C15C1C">
        <w:t>documento</w:t>
      </w:r>
      <w:r w:rsidR="00B8031D">
        <w:t>.</w:t>
      </w:r>
    </w:p>
    <w:p w:rsidR="00AA0416" w:rsidRDefault="009E451F" w:rsidP="00C24C62">
      <w:pPr>
        <w:jc w:val="both"/>
      </w:pPr>
      <w:r w:rsidRPr="00C33451">
        <w:rPr>
          <w:noProof/>
          <w:lang w:eastAsia="es-ES"/>
        </w:rPr>
        <w:lastRenderedPageBreak/>
        <w:drawing>
          <wp:inline distT="0" distB="0" distL="0" distR="0">
            <wp:extent cx="5405755" cy="3460115"/>
            <wp:effectExtent l="0" t="0" r="0" b="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5755" cy="3460115"/>
                    </a:xfrm>
                    <a:prstGeom prst="rect">
                      <a:avLst/>
                    </a:prstGeom>
                    <a:noFill/>
                    <a:ln>
                      <a:noFill/>
                    </a:ln>
                  </pic:spPr>
                </pic:pic>
              </a:graphicData>
            </a:graphic>
          </wp:inline>
        </w:drawing>
      </w:r>
    </w:p>
    <w:p w:rsidR="004031B1" w:rsidRDefault="004031B1" w:rsidP="00C24C62">
      <w:pPr>
        <w:pStyle w:val="Ttulo2"/>
        <w:jc w:val="both"/>
      </w:pPr>
      <w:r>
        <w:t>Solapa “Datos personales”</w:t>
      </w:r>
    </w:p>
    <w:p w:rsidR="00AA0416" w:rsidRDefault="0088508D" w:rsidP="00C24C62">
      <w:pPr>
        <w:jc w:val="both"/>
      </w:pPr>
      <w:r>
        <w:t>Ya que para acceder al formulario de solicitud es necesario que se haya identificado previamente por alguno de los métodos de identificación disponibles en la Sede electrónica, e</w:t>
      </w:r>
      <w:r w:rsidR="00AA0416">
        <w:t xml:space="preserve">sta solapa </w:t>
      </w:r>
      <w:r>
        <w:t>muestra los datos principales de la persona identificada, que actúa como solicitante</w:t>
      </w:r>
      <w:r w:rsidR="00AA0416">
        <w:t>.</w:t>
      </w:r>
    </w:p>
    <w:p w:rsidR="0088508D" w:rsidRDefault="009E451F" w:rsidP="00C24C62">
      <w:pPr>
        <w:jc w:val="both"/>
      </w:pPr>
      <w:r w:rsidRPr="00C33451">
        <w:rPr>
          <w:noProof/>
          <w:lang w:eastAsia="es-ES"/>
        </w:rPr>
        <w:drawing>
          <wp:inline distT="0" distB="0" distL="0" distR="0">
            <wp:extent cx="5398770" cy="2004060"/>
            <wp:effectExtent l="0" t="0" r="0" b="0"/>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8770" cy="2004060"/>
                    </a:xfrm>
                    <a:prstGeom prst="rect">
                      <a:avLst/>
                    </a:prstGeom>
                    <a:noFill/>
                    <a:ln>
                      <a:noFill/>
                    </a:ln>
                  </pic:spPr>
                </pic:pic>
              </a:graphicData>
            </a:graphic>
          </wp:inline>
        </w:drawing>
      </w:r>
    </w:p>
    <w:p w:rsidR="0088508D" w:rsidRDefault="0088508D" w:rsidP="00C24C62">
      <w:pPr>
        <w:jc w:val="both"/>
      </w:pPr>
      <w:r>
        <w:t>Tenga en cuenta lo siguiente:</w:t>
      </w:r>
    </w:p>
    <w:p w:rsidR="0088508D" w:rsidRDefault="0088508D" w:rsidP="0088508D">
      <w:pPr>
        <w:pStyle w:val="Prrafodelista"/>
        <w:numPr>
          <w:ilvl w:val="0"/>
          <w:numId w:val="13"/>
        </w:numPr>
        <w:jc w:val="both"/>
      </w:pPr>
      <w:r>
        <w:t>Los campos cuya etiqueta descriptiva está marcada con el símbolo *, son de cumplimentación obligatoria. Debe rellenarlos para poder remitir su solicitud.</w:t>
      </w:r>
    </w:p>
    <w:p w:rsidR="0088508D" w:rsidRDefault="0088508D" w:rsidP="0088508D">
      <w:pPr>
        <w:pStyle w:val="Prrafodelista"/>
        <w:numPr>
          <w:ilvl w:val="0"/>
          <w:numId w:val="13"/>
        </w:numPr>
        <w:jc w:val="both"/>
      </w:pPr>
      <w:r>
        <w:t>Los campos mostrados con fondo en color gris, no pueden ser modificados, salvo indicación expresa mediante alguna opción del formulario.</w:t>
      </w:r>
    </w:p>
    <w:p w:rsidR="0088508D" w:rsidRDefault="0088508D" w:rsidP="0088508D">
      <w:pPr>
        <w:pStyle w:val="Prrafodelista"/>
        <w:numPr>
          <w:ilvl w:val="0"/>
          <w:numId w:val="13"/>
        </w:numPr>
        <w:jc w:val="both"/>
      </w:pPr>
      <w:r>
        <w:t xml:space="preserve">En esta solapa se precarga información a partir de su identificación </w:t>
      </w:r>
      <w:r w:rsidR="008675C8">
        <w:t>(</w:t>
      </w:r>
      <w:proofErr w:type="spellStart"/>
      <w:r w:rsidR="008675C8">
        <w:t>dni</w:t>
      </w:r>
      <w:proofErr w:type="spellEnd"/>
      <w:r w:rsidR="008675C8">
        <w:t>/</w:t>
      </w:r>
      <w:proofErr w:type="spellStart"/>
      <w:r w:rsidR="008675C8">
        <w:t>nif</w:t>
      </w:r>
      <w:proofErr w:type="spellEnd"/>
      <w:r w:rsidR="008675C8">
        <w:t>). Debe rellenar o modificar los campos que proceda.</w:t>
      </w:r>
    </w:p>
    <w:p w:rsidR="004031B1" w:rsidRDefault="004031B1" w:rsidP="00C24C62">
      <w:pPr>
        <w:pStyle w:val="Ttulo2"/>
        <w:jc w:val="both"/>
      </w:pPr>
      <w:r>
        <w:t>Solapa “</w:t>
      </w:r>
      <w:r w:rsidR="008675C8">
        <w:t>Actividad principal</w:t>
      </w:r>
      <w:r>
        <w:t>”</w:t>
      </w:r>
    </w:p>
    <w:p w:rsidR="008675C8" w:rsidRDefault="00480044" w:rsidP="00C24C62">
      <w:pPr>
        <w:jc w:val="both"/>
      </w:pPr>
      <w:r>
        <w:t xml:space="preserve">Esta solapa le permite </w:t>
      </w:r>
      <w:r w:rsidR="008675C8">
        <w:t xml:space="preserve">especificar los datos relativos a su actividad laboral principal, que </w:t>
      </w:r>
      <w:r w:rsidR="008675C8" w:rsidRPr="00AC64CA">
        <w:t xml:space="preserve">necesariamente debe </w:t>
      </w:r>
      <w:r w:rsidR="00DE60C0" w:rsidRPr="00AC64CA">
        <w:t xml:space="preserve">ser </w:t>
      </w:r>
      <w:r w:rsidR="007E0282" w:rsidRPr="00AC64CA">
        <w:t xml:space="preserve">en </w:t>
      </w:r>
      <w:r w:rsidR="008675C8" w:rsidRPr="00AC64CA">
        <w:t>la</w:t>
      </w:r>
      <w:r w:rsidR="00AC64CA" w:rsidRPr="00AC64CA">
        <w:t xml:space="preserve"> UPV</w:t>
      </w:r>
      <w:r w:rsidR="00365730" w:rsidRPr="00AC64CA">
        <w:t>.</w:t>
      </w:r>
      <w:r w:rsidR="008675C8" w:rsidRPr="00AC64CA">
        <w:t xml:space="preserve"> En el caso </w:t>
      </w:r>
      <w:r w:rsidR="007E0282" w:rsidRPr="00AC64CA">
        <w:t xml:space="preserve">de </w:t>
      </w:r>
      <w:r w:rsidR="008675C8" w:rsidRPr="00AC64CA">
        <w:t xml:space="preserve">que </w:t>
      </w:r>
      <w:r w:rsidR="00DE60C0" w:rsidRPr="00AC64CA">
        <w:t xml:space="preserve">el sistema </w:t>
      </w:r>
      <w:r w:rsidR="008675C8" w:rsidRPr="00AC64CA">
        <w:t>disponga</w:t>
      </w:r>
      <w:r w:rsidR="008675C8">
        <w:t xml:space="preserve"> de información </w:t>
      </w:r>
      <w:r w:rsidR="008675C8">
        <w:lastRenderedPageBreak/>
        <w:t>vigente relacionada con su identidad, algunos de los campos pueden ser precargados y mostrados en fondo gris (sin posibilidad de modificación).</w:t>
      </w:r>
    </w:p>
    <w:p w:rsidR="008675C8" w:rsidRDefault="009E451F" w:rsidP="00C24C62">
      <w:pPr>
        <w:jc w:val="both"/>
      </w:pPr>
      <w:r w:rsidRPr="00C33451">
        <w:rPr>
          <w:noProof/>
          <w:lang w:eastAsia="es-ES"/>
        </w:rPr>
        <w:drawing>
          <wp:inline distT="0" distB="0" distL="0" distR="0">
            <wp:extent cx="5398770" cy="3204210"/>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8770" cy="3204210"/>
                    </a:xfrm>
                    <a:prstGeom prst="rect">
                      <a:avLst/>
                    </a:prstGeom>
                    <a:noFill/>
                    <a:ln>
                      <a:noFill/>
                    </a:ln>
                  </pic:spPr>
                </pic:pic>
              </a:graphicData>
            </a:graphic>
          </wp:inline>
        </w:drawing>
      </w:r>
    </w:p>
    <w:p w:rsidR="008675C8" w:rsidRPr="00AC64CA" w:rsidRDefault="008675C8" w:rsidP="00C24C62">
      <w:pPr>
        <w:jc w:val="both"/>
      </w:pPr>
      <w:r>
        <w:t xml:space="preserve">No obstante, si </w:t>
      </w:r>
      <w:r w:rsidRPr="00AC64CA">
        <w:t>considera</w:t>
      </w:r>
      <w:r w:rsidR="00DE60C0" w:rsidRPr="00AC64CA">
        <w:t xml:space="preserve"> que </w:t>
      </w:r>
      <w:r w:rsidR="00BA1A3C" w:rsidRPr="00AC64CA">
        <w:t>los</w:t>
      </w:r>
      <w:r w:rsidR="00DE60C0" w:rsidRPr="00AC64CA">
        <w:t xml:space="preserve"> datos</w:t>
      </w:r>
      <w:r w:rsidR="00BA1A3C" w:rsidRPr="00AC64CA">
        <w:t xml:space="preserve"> precargados</w:t>
      </w:r>
      <w:r w:rsidR="00DE60C0" w:rsidRPr="00AC64CA">
        <w:t xml:space="preserve"> </w:t>
      </w:r>
      <w:r w:rsidRPr="00AC64CA">
        <w:t xml:space="preserve">no son adecuados, </w:t>
      </w:r>
      <w:r w:rsidR="00AC64CA" w:rsidRPr="00AC64CA">
        <w:t xml:space="preserve">debe </w:t>
      </w:r>
      <w:r w:rsidRPr="00AC64CA">
        <w:t>utili</w:t>
      </w:r>
      <w:r w:rsidR="00AC64CA" w:rsidRPr="00AC64CA">
        <w:t>zar</w:t>
      </w:r>
      <w:r w:rsidRPr="00AC64CA">
        <w:t xml:space="preserve"> la casilla correspondiente para poder modificar su contenido</w:t>
      </w:r>
      <w:r w:rsidR="00BA1A3C" w:rsidRPr="00AC64CA">
        <w:t xml:space="preserve"> </w:t>
      </w:r>
      <w:r w:rsidR="00BA1A3C" w:rsidRPr="00AC64CA">
        <w:rPr>
          <w:i/>
        </w:rPr>
        <w:t>(</w:t>
      </w:r>
      <w:r w:rsidR="00AC64CA" w:rsidRPr="00AC64CA">
        <w:rPr>
          <w:i/>
        </w:rPr>
        <w:t xml:space="preserve">cuando </w:t>
      </w:r>
      <w:proofErr w:type="spellStart"/>
      <w:r w:rsidR="00AC64CA" w:rsidRPr="00AC64CA">
        <w:rPr>
          <w:i/>
        </w:rPr>
        <w:t>p.e</w:t>
      </w:r>
      <w:proofErr w:type="spellEnd"/>
      <w:r w:rsidR="00AC64CA" w:rsidRPr="00AC64CA">
        <w:rPr>
          <w:i/>
        </w:rPr>
        <w:t xml:space="preserve">., </w:t>
      </w:r>
      <w:r w:rsidR="007E0282" w:rsidRPr="00AC64CA">
        <w:rPr>
          <w:i/>
        </w:rPr>
        <w:t>un Profesor Asociado actual quiere pedir compatibilidad para ser contratado como Técnico de Laboratorio</w:t>
      </w:r>
      <w:r w:rsidR="00BA1A3C" w:rsidRPr="00AC64CA">
        <w:rPr>
          <w:i/>
        </w:rPr>
        <w:t>;</w:t>
      </w:r>
      <w:r w:rsidR="007E0282" w:rsidRPr="00AC64CA">
        <w:rPr>
          <w:i/>
        </w:rPr>
        <w:t xml:space="preserve"> </w:t>
      </w:r>
      <w:r w:rsidR="00BA1A3C" w:rsidRPr="00AC64CA">
        <w:rPr>
          <w:i/>
        </w:rPr>
        <w:t>l</w:t>
      </w:r>
      <w:r w:rsidR="007E0282" w:rsidRPr="00AC64CA">
        <w:rPr>
          <w:i/>
        </w:rPr>
        <w:t>os datos recuperados serían los de Asociado pero debe</w:t>
      </w:r>
      <w:r w:rsidR="00AC64CA" w:rsidRPr="00AC64CA">
        <w:rPr>
          <w:i/>
        </w:rPr>
        <w:t>n ser</w:t>
      </w:r>
      <w:r w:rsidR="007E0282" w:rsidRPr="00AC64CA">
        <w:rPr>
          <w:i/>
        </w:rPr>
        <w:t xml:space="preserve"> modifica</w:t>
      </w:r>
      <w:r w:rsidR="00AC64CA" w:rsidRPr="00AC64CA">
        <w:rPr>
          <w:i/>
        </w:rPr>
        <w:t>dos por</w:t>
      </w:r>
      <w:r w:rsidR="007E0282" w:rsidRPr="00AC64CA">
        <w:rPr>
          <w:i/>
        </w:rPr>
        <w:t xml:space="preserve"> el interesado </w:t>
      </w:r>
      <w:r w:rsidR="00AC64CA" w:rsidRPr="00AC64CA">
        <w:rPr>
          <w:i/>
        </w:rPr>
        <w:t>ya que</w:t>
      </w:r>
      <w:r w:rsidR="007E0282" w:rsidRPr="00AC64CA">
        <w:rPr>
          <w:i/>
        </w:rPr>
        <w:t xml:space="preserve"> la actividad principal en este ejemplo sería la de Técnico</w:t>
      </w:r>
      <w:r w:rsidR="00AC64CA" w:rsidRPr="00AC64CA">
        <w:rPr>
          <w:i/>
        </w:rPr>
        <w:t xml:space="preserve"> de Laboratorio</w:t>
      </w:r>
      <w:r w:rsidR="00BA1A3C" w:rsidRPr="00AC64CA">
        <w:rPr>
          <w:i/>
        </w:rPr>
        <w:t>)</w:t>
      </w:r>
      <w:r w:rsidR="007E0282" w:rsidRPr="00AC64CA">
        <w:t>.</w:t>
      </w:r>
    </w:p>
    <w:p w:rsidR="008675C8" w:rsidRDefault="009E451F" w:rsidP="00C24C62">
      <w:pPr>
        <w:jc w:val="both"/>
      </w:pPr>
      <w:r w:rsidRPr="00C33451">
        <w:rPr>
          <w:noProof/>
          <w:lang w:eastAsia="es-ES"/>
        </w:rPr>
        <w:drawing>
          <wp:inline distT="0" distB="0" distL="0" distR="0">
            <wp:extent cx="5398770" cy="292735"/>
            <wp:effectExtent l="0" t="0" r="0" b="0"/>
            <wp:docPr id="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8770" cy="292735"/>
                    </a:xfrm>
                    <a:prstGeom prst="rect">
                      <a:avLst/>
                    </a:prstGeom>
                    <a:noFill/>
                    <a:ln>
                      <a:noFill/>
                    </a:ln>
                  </pic:spPr>
                </pic:pic>
              </a:graphicData>
            </a:graphic>
          </wp:inline>
        </w:drawing>
      </w:r>
    </w:p>
    <w:p w:rsidR="008675C8" w:rsidRDefault="008675C8" w:rsidP="00C24C62">
      <w:pPr>
        <w:jc w:val="both"/>
      </w:pPr>
      <w:r>
        <w:t xml:space="preserve">En caso de activar dicha casilla, los campos precargados mostrados con fondo en color gris cambian su fondo a color blanco y se </w:t>
      </w:r>
      <w:proofErr w:type="spellStart"/>
      <w:r>
        <w:t>permit</w:t>
      </w:r>
      <w:r w:rsidR="00AC64CA">
        <w:t>ará</w:t>
      </w:r>
      <w:proofErr w:type="spellEnd"/>
      <w:r>
        <w:t xml:space="preserve"> su modificación. Mientras está introduciendo o modificando el contenido de un campo editable, éste se muestra en color verde.</w:t>
      </w:r>
    </w:p>
    <w:p w:rsidR="008675C8" w:rsidRDefault="009E451F" w:rsidP="00C24C62">
      <w:pPr>
        <w:jc w:val="both"/>
      </w:pPr>
      <w:r w:rsidRPr="00C33451">
        <w:rPr>
          <w:noProof/>
          <w:lang w:eastAsia="es-ES"/>
        </w:rPr>
        <w:drawing>
          <wp:inline distT="0" distB="0" distL="0" distR="0">
            <wp:extent cx="5398770" cy="1784985"/>
            <wp:effectExtent l="0" t="0" r="0" b="0"/>
            <wp:docPr id="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8770" cy="1784985"/>
                    </a:xfrm>
                    <a:prstGeom prst="rect">
                      <a:avLst/>
                    </a:prstGeom>
                    <a:noFill/>
                    <a:ln>
                      <a:noFill/>
                    </a:ln>
                  </pic:spPr>
                </pic:pic>
              </a:graphicData>
            </a:graphic>
          </wp:inline>
        </w:drawing>
      </w:r>
    </w:p>
    <w:p w:rsidR="008675C8" w:rsidRDefault="00B30F51" w:rsidP="00C24C62">
      <w:pPr>
        <w:jc w:val="both"/>
      </w:pPr>
      <w:r>
        <w:t xml:space="preserve">En el caso de que la UPV no disponga de datos de la persona identificada, todos los campos se muestran vacíos y con fondo en color blanco, y debe introducir la información libremente. </w:t>
      </w:r>
      <w:r w:rsidR="008675C8">
        <w:t>Recuerde que todos los campos cuya etiqueta contiene el símbolo * son de cumplimentación obligatoria.</w:t>
      </w:r>
    </w:p>
    <w:p w:rsidR="008675C8" w:rsidRDefault="008675C8" w:rsidP="00C24C62">
      <w:pPr>
        <w:jc w:val="both"/>
      </w:pPr>
      <w:r>
        <w:lastRenderedPageBreak/>
        <w:t xml:space="preserve">Recuerde </w:t>
      </w:r>
      <w:r w:rsidR="00B30F51">
        <w:t xml:space="preserve">igualmente </w:t>
      </w:r>
      <w:r>
        <w:t xml:space="preserve">que </w:t>
      </w:r>
      <w:r w:rsidR="00B30F51">
        <w:t xml:space="preserve">en todos los casos </w:t>
      </w:r>
      <w:r>
        <w:t>debe adjuntar de manera obligato</w:t>
      </w:r>
      <w:r w:rsidR="00B30F51">
        <w:t xml:space="preserve">ria un documento en esta página para acreditar </w:t>
      </w:r>
      <w:r w:rsidR="00DE60C0" w:rsidRPr="00AC64CA">
        <w:t>el horario</w:t>
      </w:r>
      <w:r w:rsidR="00DE60C0" w:rsidRPr="00DE60C0">
        <w:rPr>
          <w:color w:val="FF0000"/>
        </w:rPr>
        <w:t xml:space="preserve"> </w:t>
      </w:r>
      <w:r w:rsidR="00B30F51">
        <w:t>de su actividad principal.</w:t>
      </w:r>
    </w:p>
    <w:p w:rsidR="008675C8" w:rsidRDefault="009E451F" w:rsidP="00C24C62">
      <w:pPr>
        <w:jc w:val="both"/>
      </w:pPr>
      <w:r w:rsidRPr="00BA56BD">
        <w:rPr>
          <w:noProof/>
          <w:lang w:eastAsia="es-ES"/>
        </w:rPr>
        <w:drawing>
          <wp:inline distT="0" distB="0" distL="0" distR="0">
            <wp:extent cx="5398770" cy="409575"/>
            <wp:effectExtent l="0" t="0" r="0" b="0"/>
            <wp:docPr id="2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8770" cy="409575"/>
                    </a:xfrm>
                    <a:prstGeom prst="rect">
                      <a:avLst/>
                    </a:prstGeom>
                    <a:noFill/>
                    <a:ln>
                      <a:noFill/>
                    </a:ln>
                  </pic:spPr>
                </pic:pic>
              </a:graphicData>
            </a:graphic>
          </wp:inline>
        </w:drawing>
      </w:r>
    </w:p>
    <w:p w:rsidR="008675C8" w:rsidRDefault="00B30F51" w:rsidP="00C24C62">
      <w:pPr>
        <w:jc w:val="both"/>
      </w:pPr>
      <w:r>
        <w:t>Finalmente s</w:t>
      </w:r>
      <w:r w:rsidR="008675C8">
        <w:t xml:space="preserve">eleccione el tipo de actividad SECUNDARIA para </w:t>
      </w:r>
      <w:r w:rsidR="00A95D0E" w:rsidRPr="00AC64CA">
        <w:t>la</w:t>
      </w:r>
      <w:r w:rsidR="00A95D0E">
        <w:t xml:space="preserve"> </w:t>
      </w:r>
      <w:r w:rsidR="008675C8">
        <w:t>que solicita la compatibilidad, entre las 3 opciones disponibles:</w:t>
      </w:r>
      <w:r>
        <w:t xml:space="preserve"> Pública, Privada o </w:t>
      </w:r>
      <w:proofErr w:type="spellStart"/>
      <w:r>
        <w:t>Pública+Privada</w:t>
      </w:r>
      <w:proofErr w:type="spellEnd"/>
      <w:r>
        <w:t>, según sea su caso.</w:t>
      </w:r>
    </w:p>
    <w:p w:rsidR="008675C8" w:rsidRDefault="009E451F" w:rsidP="00C24C62">
      <w:pPr>
        <w:jc w:val="both"/>
      </w:pPr>
      <w:r w:rsidRPr="00C33451">
        <w:rPr>
          <w:noProof/>
          <w:lang w:eastAsia="es-ES"/>
        </w:rPr>
        <w:drawing>
          <wp:inline distT="0" distB="0" distL="0" distR="0">
            <wp:extent cx="4638040" cy="541020"/>
            <wp:effectExtent l="0" t="0" r="0" b="0"/>
            <wp:docPr id="7"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38040" cy="541020"/>
                    </a:xfrm>
                    <a:prstGeom prst="rect">
                      <a:avLst/>
                    </a:prstGeom>
                    <a:noFill/>
                    <a:ln>
                      <a:noFill/>
                    </a:ln>
                  </pic:spPr>
                </pic:pic>
              </a:graphicData>
            </a:graphic>
          </wp:inline>
        </w:drawing>
      </w:r>
    </w:p>
    <w:p w:rsidR="008675C8" w:rsidRPr="00AC64CA" w:rsidRDefault="008675C8" w:rsidP="00C24C62">
      <w:pPr>
        <w:jc w:val="both"/>
      </w:pPr>
      <w:r w:rsidRPr="00AC64CA">
        <w:t xml:space="preserve">Dependiendo de su selección aparecerán 1 </w:t>
      </w:r>
      <w:proofErr w:type="spellStart"/>
      <w:r w:rsidRPr="00AC64CA">
        <w:t>ó</w:t>
      </w:r>
      <w:proofErr w:type="spellEnd"/>
      <w:r w:rsidRPr="00AC64CA">
        <w:t xml:space="preserve"> 2 nuevas solapas </w:t>
      </w:r>
      <w:r w:rsidR="00B30F51" w:rsidRPr="00AC64CA">
        <w:t xml:space="preserve">en el formulario </w:t>
      </w:r>
      <w:r w:rsidRPr="00AC64CA">
        <w:t xml:space="preserve">que le permiten introducir la información relativa al tipo de actividad seleccionado. </w:t>
      </w:r>
      <w:r w:rsidR="00A95D0E" w:rsidRPr="00AC64CA">
        <w:t xml:space="preserve">Acceda </w:t>
      </w:r>
      <w:r w:rsidRPr="00AC64CA">
        <w:t xml:space="preserve">a los apartados siguientes para </w:t>
      </w:r>
      <w:r w:rsidR="008E1C39" w:rsidRPr="00AC64CA">
        <w:t>continuar con s</w:t>
      </w:r>
      <w:r w:rsidRPr="00AC64CA">
        <w:t>u solicitud.</w:t>
      </w:r>
    </w:p>
    <w:p w:rsidR="004031B1" w:rsidRDefault="004031B1" w:rsidP="00C24C62">
      <w:pPr>
        <w:pStyle w:val="Ttulo2"/>
        <w:jc w:val="both"/>
      </w:pPr>
      <w:r>
        <w:t>Solapa “</w:t>
      </w:r>
      <w:r w:rsidR="00B30F51">
        <w:t>Actividad secundaria PÚBLICA</w:t>
      </w:r>
      <w:r>
        <w:t>”</w:t>
      </w:r>
    </w:p>
    <w:p w:rsidR="0008720A" w:rsidRDefault="00324D51" w:rsidP="00C24C62">
      <w:pPr>
        <w:jc w:val="both"/>
      </w:pPr>
      <w:r>
        <w:t xml:space="preserve">Esta solapa </w:t>
      </w:r>
      <w:r w:rsidR="00B30F51">
        <w:t>permite introducir la información relativa a la actividad secundaria PÚBLICA que pretende compatibilizar con su actividad principal</w:t>
      </w:r>
      <w:r w:rsidR="00C15C1C">
        <w:t>.</w:t>
      </w:r>
      <w:r w:rsidR="00365730">
        <w:t xml:space="preserve"> </w:t>
      </w:r>
      <w:r w:rsidR="00B30F51">
        <w:t xml:space="preserve"> Rellene los campos obligatorios de dicha solapa. </w:t>
      </w:r>
    </w:p>
    <w:p w:rsidR="00AC64CA" w:rsidRDefault="00AC64CA" w:rsidP="00C24C62">
      <w:pPr>
        <w:jc w:val="both"/>
      </w:pPr>
      <w:r>
        <w:t xml:space="preserve">Recuerde igualmente que en todos los casos debe adjuntar de manera obligatoria un documento en esta página para acreditar </w:t>
      </w:r>
      <w:r w:rsidRPr="00AC64CA">
        <w:t>el horario</w:t>
      </w:r>
      <w:r w:rsidRPr="00DE60C0">
        <w:rPr>
          <w:color w:val="FF0000"/>
        </w:rPr>
        <w:t xml:space="preserve"> </w:t>
      </w:r>
      <w:r>
        <w:t>de esta actividad secundaria</w:t>
      </w:r>
      <w:r w:rsidR="0008720A">
        <w:t xml:space="preserve"> Pública</w:t>
      </w:r>
    </w:p>
    <w:p w:rsidR="00A95D0E" w:rsidRDefault="009E451F" w:rsidP="007C5B2B">
      <w:pPr>
        <w:jc w:val="both"/>
      </w:pPr>
      <w:r w:rsidRPr="00BA56BD">
        <w:rPr>
          <w:noProof/>
          <w:lang w:eastAsia="es-ES"/>
        </w:rPr>
        <w:drawing>
          <wp:inline distT="0" distB="0" distL="0" distR="0">
            <wp:extent cx="5405755" cy="2531110"/>
            <wp:effectExtent l="0" t="0" r="0" b="0"/>
            <wp:docPr id="2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5755" cy="2531110"/>
                    </a:xfrm>
                    <a:prstGeom prst="rect">
                      <a:avLst/>
                    </a:prstGeom>
                    <a:noFill/>
                    <a:ln>
                      <a:noFill/>
                    </a:ln>
                  </pic:spPr>
                </pic:pic>
              </a:graphicData>
            </a:graphic>
          </wp:inline>
        </w:drawing>
      </w:r>
    </w:p>
    <w:p w:rsidR="00B30F51" w:rsidRDefault="00B30F51" w:rsidP="0014558F">
      <w:pPr>
        <w:pStyle w:val="Ttulo1"/>
      </w:pPr>
      <w:r>
        <w:t>Solapa “Actividad secundaria PRIVADA”</w:t>
      </w:r>
    </w:p>
    <w:p w:rsidR="00B30F51" w:rsidRPr="00AC64CA" w:rsidRDefault="00B30F51" w:rsidP="00B30F51">
      <w:pPr>
        <w:jc w:val="both"/>
      </w:pPr>
      <w:r w:rsidRPr="00AC64CA">
        <w:t xml:space="preserve">Esta solapa permite introducir la información relativa a la actividad secundaria PRIVADA que pretende compatibilizar con su actividad principal. Es posible incluir varias actividades privadas en una misma solicitud, para lo cual dispone de un sistema que le permite añadir/eliminar filas en esta pestaña. Rellene los campos obligatorios de dicha solapa. Recuerde que obligatoriamente debe adjuntar un fichero para acreditar </w:t>
      </w:r>
      <w:r w:rsidR="00A95D0E" w:rsidRPr="00AC64CA">
        <w:t>el horario/actividad a realizar</w:t>
      </w:r>
      <w:r w:rsidR="00AC64CA" w:rsidRPr="00AC64CA">
        <w:t>,</w:t>
      </w:r>
      <w:r w:rsidR="00A95D0E" w:rsidRPr="00AC64CA">
        <w:t xml:space="preserve"> </w:t>
      </w:r>
      <w:r w:rsidR="008E1C39" w:rsidRPr="00AC64CA">
        <w:t>por</w:t>
      </w:r>
      <w:r w:rsidR="00A95D0E" w:rsidRPr="00AC64CA">
        <w:t xml:space="preserve"> </w:t>
      </w:r>
      <w:r w:rsidRPr="00AC64CA">
        <w:t>cada una de las filas</w:t>
      </w:r>
      <w:r w:rsidR="00AC64CA" w:rsidRPr="00AC64CA">
        <w:t xml:space="preserve"> c</w:t>
      </w:r>
      <w:r w:rsidR="00A95D0E" w:rsidRPr="00AC64CA">
        <w:t xml:space="preserve">umplimentadas </w:t>
      </w:r>
      <w:r w:rsidRPr="00AC64CA">
        <w:t>en esta solapa.</w:t>
      </w:r>
    </w:p>
    <w:p w:rsidR="00B30F51" w:rsidRDefault="009E451F" w:rsidP="00B30F51">
      <w:pPr>
        <w:jc w:val="both"/>
      </w:pPr>
      <w:r w:rsidRPr="00C33451">
        <w:rPr>
          <w:noProof/>
          <w:lang w:eastAsia="es-ES"/>
        </w:rPr>
        <w:lastRenderedPageBreak/>
        <w:drawing>
          <wp:inline distT="0" distB="0" distL="0" distR="0">
            <wp:extent cx="5405755" cy="1579880"/>
            <wp:effectExtent l="0" t="0" r="0" b="0"/>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5755" cy="1579880"/>
                    </a:xfrm>
                    <a:prstGeom prst="rect">
                      <a:avLst/>
                    </a:prstGeom>
                    <a:noFill/>
                    <a:ln>
                      <a:noFill/>
                    </a:ln>
                  </pic:spPr>
                </pic:pic>
              </a:graphicData>
            </a:graphic>
          </wp:inline>
        </w:drawing>
      </w:r>
    </w:p>
    <w:p w:rsidR="00B30F51" w:rsidRDefault="00B30F51" w:rsidP="00B30F51">
      <w:pPr>
        <w:jc w:val="both"/>
      </w:pPr>
      <w:r>
        <w:t xml:space="preserve">Si desea añadir una fila, </w:t>
      </w:r>
      <w:r w:rsidR="00770F47">
        <w:t>pulse en</w:t>
      </w:r>
      <w:r>
        <w:t xml:space="preserve"> el </w:t>
      </w:r>
      <w:proofErr w:type="gramStart"/>
      <w:r>
        <w:t xml:space="preserve">icono </w:t>
      </w:r>
      <w:proofErr w:type="gramEnd"/>
      <w:r w:rsidR="009E451F" w:rsidRPr="00C33451">
        <w:rPr>
          <w:noProof/>
          <w:lang w:eastAsia="es-ES"/>
        </w:rPr>
        <w:drawing>
          <wp:inline distT="0" distB="0" distL="0" distR="0">
            <wp:extent cx="278130" cy="314325"/>
            <wp:effectExtent l="0" t="0" r="0" b="0"/>
            <wp:docPr id="10"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130" cy="314325"/>
                    </a:xfrm>
                    <a:prstGeom prst="rect">
                      <a:avLst/>
                    </a:prstGeom>
                    <a:noFill/>
                    <a:ln>
                      <a:noFill/>
                    </a:ln>
                  </pic:spPr>
                </pic:pic>
              </a:graphicData>
            </a:graphic>
          </wp:inline>
        </w:drawing>
      </w:r>
      <w:r w:rsidR="00770F47">
        <w:t>. Se muestra una fila con todos los campos en blanco. Rellene todos ellos con la información que proceda:</w:t>
      </w:r>
    </w:p>
    <w:p w:rsidR="00770F47" w:rsidRDefault="009E451F" w:rsidP="00B30F51">
      <w:pPr>
        <w:jc w:val="both"/>
      </w:pPr>
      <w:r w:rsidRPr="00C33451">
        <w:rPr>
          <w:noProof/>
          <w:lang w:eastAsia="es-ES"/>
        </w:rPr>
        <w:drawing>
          <wp:inline distT="0" distB="0" distL="0" distR="0">
            <wp:extent cx="5391150" cy="782955"/>
            <wp:effectExtent l="0" t="0" r="0" b="0"/>
            <wp:docPr id="11"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1150" cy="782955"/>
                    </a:xfrm>
                    <a:prstGeom prst="rect">
                      <a:avLst/>
                    </a:prstGeom>
                    <a:noFill/>
                    <a:ln>
                      <a:noFill/>
                    </a:ln>
                  </pic:spPr>
                </pic:pic>
              </a:graphicData>
            </a:graphic>
          </wp:inline>
        </w:drawing>
      </w:r>
    </w:p>
    <w:p w:rsidR="00770F47" w:rsidRDefault="00770F47" w:rsidP="00B30F51">
      <w:pPr>
        <w:jc w:val="both"/>
      </w:pPr>
      <w:r>
        <w:t>Si desea eliminar una fila ya existente,</w:t>
      </w:r>
      <w:r w:rsidRPr="00A95D0E">
        <w:rPr>
          <w:color w:val="FF0000"/>
        </w:rPr>
        <w:t xml:space="preserve"> </w:t>
      </w:r>
      <w:r w:rsidR="00A95D0E" w:rsidRPr="00AC64CA">
        <w:t>pulse</w:t>
      </w:r>
      <w:r w:rsidR="00A95D0E" w:rsidRPr="00A95D0E">
        <w:rPr>
          <w:color w:val="FF0000"/>
        </w:rPr>
        <w:t xml:space="preserve"> </w:t>
      </w:r>
      <w:r>
        <w:t xml:space="preserve">en el icono </w:t>
      </w:r>
      <w:r w:rsidR="009E451F" w:rsidRPr="00C33451">
        <w:rPr>
          <w:noProof/>
          <w:lang w:eastAsia="es-ES"/>
        </w:rPr>
        <w:drawing>
          <wp:inline distT="0" distB="0" distL="0" distR="0">
            <wp:extent cx="248920" cy="285115"/>
            <wp:effectExtent l="0" t="0" r="0" b="0"/>
            <wp:docPr id="1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920" cy="285115"/>
                    </a:xfrm>
                    <a:prstGeom prst="rect">
                      <a:avLst/>
                    </a:prstGeom>
                    <a:noFill/>
                    <a:ln>
                      <a:noFill/>
                    </a:ln>
                  </pic:spPr>
                </pic:pic>
              </a:graphicData>
            </a:graphic>
          </wp:inline>
        </w:drawing>
      </w:r>
      <w:r>
        <w:t>que figura junto a la fila que desea eliminar. Dicha fila desparece del formulario. NOTA: No se muestra un mensaje de confirmación previo al borrado de la fila.</w:t>
      </w:r>
    </w:p>
    <w:p w:rsidR="00770F47" w:rsidRDefault="00770F47" w:rsidP="00770F47">
      <w:pPr>
        <w:pStyle w:val="Ttulo2"/>
        <w:jc w:val="both"/>
      </w:pPr>
      <w:r>
        <w:t>Solapa “Comunicaciones”</w:t>
      </w:r>
    </w:p>
    <w:p w:rsidR="00B30F51" w:rsidRPr="00AC64CA" w:rsidRDefault="00770F47" w:rsidP="00770F47">
      <w:pPr>
        <w:jc w:val="both"/>
      </w:pPr>
      <w:r w:rsidRPr="00AC64CA">
        <w:t xml:space="preserve">Esta solapa le informa de cuál será el </w:t>
      </w:r>
      <w:r w:rsidR="00A13EB0" w:rsidRPr="00AC64CA">
        <w:t xml:space="preserve">procedimiento </w:t>
      </w:r>
      <w:r w:rsidRPr="00AC64CA">
        <w:t>de</w:t>
      </w:r>
      <w:r w:rsidR="00A13EB0" w:rsidRPr="00AC64CA">
        <w:t xml:space="preserve"> comunicación </w:t>
      </w:r>
      <w:r w:rsidRPr="00AC64CA">
        <w:t xml:space="preserve"> </w:t>
      </w:r>
      <w:r w:rsidR="00A13EB0" w:rsidRPr="00AC64CA">
        <w:t>de las incidencias y</w:t>
      </w:r>
      <w:r w:rsidR="008E1C39" w:rsidRPr="00AC64CA">
        <w:t>/o</w:t>
      </w:r>
      <w:r w:rsidR="00A13EB0" w:rsidRPr="00AC64CA">
        <w:t xml:space="preserve"> resolución </w:t>
      </w:r>
      <w:r w:rsidRPr="00AC64CA">
        <w:t>de su solicitud</w:t>
      </w:r>
      <w:r w:rsidR="00AC64CA" w:rsidRPr="00AC64CA">
        <w:t>.</w:t>
      </w:r>
      <w:r w:rsidRPr="00AC64CA">
        <w:t xml:space="preserve"> </w:t>
      </w:r>
    </w:p>
    <w:p w:rsidR="00770F47" w:rsidRDefault="009E451F" w:rsidP="00C24C62">
      <w:pPr>
        <w:jc w:val="both"/>
      </w:pPr>
      <w:r w:rsidRPr="00C33451">
        <w:rPr>
          <w:noProof/>
          <w:lang w:eastAsia="es-ES"/>
        </w:rPr>
        <w:drawing>
          <wp:inline distT="0" distB="0" distL="0" distR="0">
            <wp:extent cx="5398770" cy="2435860"/>
            <wp:effectExtent l="0" t="0" r="0" b="0"/>
            <wp:docPr id="13"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98770" cy="2435860"/>
                    </a:xfrm>
                    <a:prstGeom prst="rect">
                      <a:avLst/>
                    </a:prstGeom>
                    <a:noFill/>
                    <a:ln>
                      <a:noFill/>
                    </a:ln>
                  </pic:spPr>
                </pic:pic>
              </a:graphicData>
            </a:graphic>
          </wp:inline>
        </w:drawing>
      </w:r>
    </w:p>
    <w:p w:rsidR="00770F47" w:rsidRPr="00821F79" w:rsidRDefault="00770F47" w:rsidP="00770F47">
      <w:pPr>
        <w:jc w:val="both"/>
      </w:pPr>
      <w:r w:rsidRPr="00821F79">
        <w:t>No debe introduci</w:t>
      </w:r>
      <w:r w:rsidR="00AC64CA" w:rsidRPr="00821F79">
        <w:t>r ninguna información adicional</w:t>
      </w:r>
      <w:r w:rsidR="00A13EB0" w:rsidRPr="00821F79">
        <w:t xml:space="preserve">. </w:t>
      </w:r>
      <w:r w:rsidR="008E1C39" w:rsidRPr="00821F79">
        <w:t>Solo en el c</w:t>
      </w:r>
      <w:r w:rsidR="00A13EB0" w:rsidRPr="00821F79">
        <w:t>aso</w:t>
      </w:r>
      <w:r w:rsidR="008E1C39" w:rsidRPr="00821F79">
        <w:t xml:space="preserve"> de</w:t>
      </w:r>
      <w:r w:rsidRPr="00821F79">
        <w:t xml:space="preserve"> que desee expresamente no comunicarse por medios electrónicos, dispone de una casilla específica</w:t>
      </w:r>
      <w:r w:rsidR="008E1C39" w:rsidRPr="00821F79">
        <w:t xml:space="preserve"> para </w:t>
      </w:r>
      <w:r w:rsidR="00BA1A3C" w:rsidRPr="00821F79">
        <w:t>indicarlo</w:t>
      </w:r>
      <w:r w:rsidRPr="00821F79">
        <w:t xml:space="preserve">. En </w:t>
      </w:r>
      <w:r w:rsidR="00A13EB0" w:rsidRPr="00821F79">
        <w:t xml:space="preserve"> </w:t>
      </w:r>
      <w:r w:rsidR="008E1C39" w:rsidRPr="00821F79">
        <w:t xml:space="preserve">este supuesto y tras marcar la casilla correspondiente, </w:t>
      </w:r>
      <w:r w:rsidRPr="00821F79">
        <w:t xml:space="preserve">debe </w:t>
      </w:r>
      <w:r w:rsidR="008E1C39" w:rsidRPr="00821F79">
        <w:t xml:space="preserve">cumplimentar los </w:t>
      </w:r>
      <w:r w:rsidRPr="00821F79">
        <w:t>datos de dirección postal</w:t>
      </w:r>
      <w:r w:rsidR="008E1C39" w:rsidRPr="00821F79">
        <w:t xml:space="preserve"> que constan en la pantalla que se abre</w:t>
      </w:r>
      <w:r w:rsidRPr="00821F79">
        <w:t>.</w:t>
      </w:r>
    </w:p>
    <w:p w:rsidR="00770F47" w:rsidRDefault="009E451F" w:rsidP="00770F47">
      <w:pPr>
        <w:jc w:val="both"/>
      </w:pPr>
      <w:r w:rsidRPr="00C33451">
        <w:rPr>
          <w:noProof/>
          <w:lang w:eastAsia="es-ES"/>
        </w:rPr>
        <w:lastRenderedPageBreak/>
        <w:drawing>
          <wp:inline distT="0" distB="0" distL="0" distR="0">
            <wp:extent cx="2677160" cy="1257935"/>
            <wp:effectExtent l="0" t="0" r="0" b="0"/>
            <wp:docPr id="1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77160" cy="1257935"/>
                    </a:xfrm>
                    <a:prstGeom prst="rect">
                      <a:avLst/>
                    </a:prstGeom>
                    <a:noFill/>
                    <a:ln>
                      <a:noFill/>
                    </a:ln>
                  </pic:spPr>
                </pic:pic>
              </a:graphicData>
            </a:graphic>
          </wp:inline>
        </w:drawing>
      </w:r>
    </w:p>
    <w:p w:rsidR="00770F47" w:rsidRDefault="00770F47" w:rsidP="00770F47">
      <w:pPr>
        <w:pStyle w:val="Ttulo2"/>
        <w:jc w:val="both"/>
      </w:pPr>
      <w:r>
        <w:t>Solapa “Declaraciones”</w:t>
      </w:r>
    </w:p>
    <w:p w:rsidR="00770F47" w:rsidRDefault="00770F47" w:rsidP="00770F47">
      <w:pPr>
        <w:jc w:val="both"/>
      </w:pPr>
      <w:r>
        <w:t>Esta solapa</w:t>
      </w:r>
      <w:r w:rsidR="00A13EB0">
        <w:t xml:space="preserve"> </w:t>
      </w:r>
      <w:r w:rsidR="00A13EB0" w:rsidRPr="00821F79">
        <w:t>contiene</w:t>
      </w:r>
      <w:r>
        <w:t xml:space="preserve"> diversas declaraciones que el solicitante </w:t>
      </w:r>
      <w:r w:rsidRPr="00821F79">
        <w:t xml:space="preserve">asume </w:t>
      </w:r>
      <w:r w:rsidR="00A13EB0" w:rsidRPr="00821F79">
        <w:t xml:space="preserve">al </w:t>
      </w:r>
      <w:r w:rsidRPr="00821F79">
        <w:t>presentar</w:t>
      </w:r>
      <w:r>
        <w:t xml:space="preserve"> la solicitud. Igualmente es posible indicar en el campo observaciones circunstancias especiales que sean relevantes para los gestores durante el proceso de tramitación de su solicitud. Por último, es posible incluir archivos que sirvan para acreditar otras circunstancias.</w:t>
      </w:r>
    </w:p>
    <w:p w:rsidR="00770F47" w:rsidRDefault="009E451F" w:rsidP="00770F47">
      <w:pPr>
        <w:jc w:val="both"/>
      </w:pPr>
      <w:r w:rsidRPr="00C33451">
        <w:rPr>
          <w:noProof/>
          <w:lang w:eastAsia="es-ES"/>
        </w:rPr>
        <w:drawing>
          <wp:inline distT="0" distB="0" distL="0" distR="0">
            <wp:extent cx="5398770" cy="3108960"/>
            <wp:effectExtent l="0" t="0" r="0" b="0"/>
            <wp:docPr id="1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8770" cy="3108960"/>
                    </a:xfrm>
                    <a:prstGeom prst="rect">
                      <a:avLst/>
                    </a:prstGeom>
                    <a:noFill/>
                    <a:ln>
                      <a:noFill/>
                    </a:ln>
                  </pic:spPr>
                </pic:pic>
              </a:graphicData>
            </a:graphic>
          </wp:inline>
        </w:drawing>
      </w:r>
    </w:p>
    <w:p w:rsidR="004031B1" w:rsidRDefault="004031B1" w:rsidP="00C24C62">
      <w:pPr>
        <w:pStyle w:val="Ttulo2"/>
        <w:jc w:val="both"/>
      </w:pPr>
      <w:r>
        <w:t>Solapa “Finalizar”</w:t>
      </w:r>
    </w:p>
    <w:p w:rsidR="004031B1" w:rsidRPr="00FA29BB" w:rsidRDefault="00770F47" w:rsidP="00770F47">
      <w:pPr>
        <w:jc w:val="both"/>
        <w:rPr>
          <w:color w:val="FF0000"/>
        </w:rPr>
      </w:pPr>
      <w:r>
        <w:t xml:space="preserve">Pulse sobre </w:t>
      </w:r>
      <w:r w:rsidRPr="00821F79">
        <w:t>el botón “Enviar” de esta solapa para presentar su solicitud por medios electrónicos. Recuerd</w:t>
      </w:r>
      <w:r w:rsidR="00FA29BB" w:rsidRPr="00821F79">
        <w:t>e</w:t>
      </w:r>
      <w:r w:rsidRPr="00821F79">
        <w:t xml:space="preserve"> que puede utilizar los botones Anterior/Siguiente para examinar el contenido de las distintas solapas y asegurarse de que su solicitud es correcta y comple</w:t>
      </w:r>
      <w:r w:rsidR="00FA29BB" w:rsidRPr="00821F79">
        <w:t>ta, antes de pulsar el botón “enviar”</w:t>
      </w:r>
    </w:p>
    <w:p w:rsidR="00770F47" w:rsidRDefault="009E451F" w:rsidP="00770F47">
      <w:pPr>
        <w:jc w:val="both"/>
      </w:pPr>
      <w:r w:rsidRPr="00C33451">
        <w:rPr>
          <w:noProof/>
          <w:lang w:eastAsia="es-ES"/>
        </w:rPr>
        <w:drawing>
          <wp:inline distT="0" distB="0" distL="0" distR="0">
            <wp:extent cx="5405755" cy="1594485"/>
            <wp:effectExtent l="0" t="0" r="0" b="0"/>
            <wp:docPr id="1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5755" cy="1594485"/>
                    </a:xfrm>
                    <a:prstGeom prst="rect">
                      <a:avLst/>
                    </a:prstGeom>
                    <a:noFill/>
                    <a:ln>
                      <a:noFill/>
                    </a:ln>
                  </pic:spPr>
                </pic:pic>
              </a:graphicData>
            </a:graphic>
          </wp:inline>
        </w:drawing>
      </w:r>
    </w:p>
    <w:p w:rsidR="00770F47" w:rsidRDefault="00770F47" w:rsidP="00C24C62">
      <w:pPr>
        <w:jc w:val="both"/>
      </w:pPr>
      <w:r>
        <w:t xml:space="preserve">Si ha olvidado cumplimentar algún campo obligatorio, tras pulsar el botón “Enviar” obtendrá un error, que le indica cuál o cuáles son los campos que debe revisar junto con un enlace que </w:t>
      </w:r>
      <w:r>
        <w:lastRenderedPageBreak/>
        <w:t>le permite navegar directamente al campo.</w:t>
      </w:r>
      <w:r w:rsidR="00BF631A">
        <w:t xml:space="preserve"> Complete la información e intente el envío de nuevo.</w:t>
      </w:r>
    </w:p>
    <w:p w:rsidR="00770F47" w:rsidRDefault="009E451F" w:rsidP="00C24C62">
      <w:pPr>
        <w:jc w:val="both"/>
      </w:pPr>
      <w:r w:rsidRPr="00C33451">
        <w:rPr>
          <w:noProof/>
          <w:lang w:eastAsia="es-ES"/>
        </w:rPr>
        <w:drawing>
          <wp:inline distT="0" distB="0" distL="0" distR="0">
            <wp:extent cx="5405755" cy="563245"/>
            <wp:effectExtent l="0" t="0" r="0" b="0"/>
            <wp:docPr id="17"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5755" cy="563245"/>
                    </a:xfrm>
                    <a:prstGeom prst="rect">
                      <a:avLst/>
                    </a:prstGeom>
                    <a:noFill/>
                    <a:ln>
                      <a:noFill/>
                    </a:ln>
                  </pic:spPr>
                </pic:pic>
              </a:graphicData>
            </a:graphic>
          </wp:inline>
        </w:drawing>
      </w:r>
    </w:p>
    <w:p w:rsidR="004031B1" w:rsidRDefault="00FA29BB" w:rsidP="00C24C62">
      <w:pPr>
        <w:jc w:val="both"/>
      </w:pPr>
      <w:r w:rsidRPr="00821F79">
        <w:t>T</w:t>
      </w:r>
      <w:r w:rsidR="004031B1" w:rsidRPr="00821F79">
        <w:t>ras</w:t>
      </w:r>
      <w:r w:rsidR="004031B1">
        <w:t xml:space="preserve"> ello, se muestra una página confirmando que su solicitud ha sido enviada con éxito. Desde dicha </w:t>
      </w:r>
      <w:r w:rsidR="004031B1" w:rsidRPr="00821F79">
        <w:t>página puede visualizar y/o descargar un documento</w:t>
      </w:r>
      <w:r w:rsidR="004031B1">
        <w:t xml:space="preserve"> en formato </w:t>
      </w:r>
      <w:proofErr w:type="spellStart"/>
      <w:r w:rsidR="004031B1">
        <w:t>pdf</w:t>
      </w:r>
      <w:proofErr w:type="spellEnd"/>
      <w:r w:rsidR="004031B1">
        <w:t xml:space="preserve"> que resu</w:t>
      </w:r>
      <w:r w:rsidR="00821F79">
        <w:t>me la solicitud presentada. Así</w:t>
      </w:r>
      <w:r w:rsidR="005B1E3B">
        <w:t xml:space="preserve"> </w:t>
      </w:r>
      <w:r w:rsidR="004031B1">
        <w:t xml:space="preserve">mismo, le informa del </w:t>
      </w:r>
      <w:r w:rsidR="004031B1" w:rsidRPr="00770F47">
        <w:rPr>
          <w:u w:val="single"/>
        </w:rPr>
        <w:t>número de expediente</w:t>
      </w:r>
      <w:r w:rsidR="004031B1">
        <w:t xml:space="preserve"> asociado a su solicitud. </w:t>
      </w:r>
    </w:p>
    <w:p w:rsidR="00C94C7E" w:rsidRDefault="009E451F" w:rsidP="00C24C62">
      <w:pPr>
        <w:jc w:val="both"/>
      </w:pPr>
      <w:r w:rsidRPr="00C33451">
        <w:rPr>
          <w:noProof/>
          <w:lang w:eastAsia="es-ES"/>
        </w:rPr>
        <w:drawing>
          <wp:inline distT="0" distB="0" distL="0" distR="0">
            <wp:extent cx="5398770" cy="2838450"/>
            <wp:effectExtent l="0" t="0" r="0" b="0"/>
            <wp:docPr id="18"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98770" cy="2838450"/>
                    </a:xfrm>
                    <a:prstGeom prst="rect">
                      <a:avLst/>
                    </a:prstGeom>
                    <a:noFill/>
                    <a:ln>
                      <a:noFill/>
                    </a:ln>
                  </pic:spPr>
                </pic:pic>
              </a:graphicData>
            </a:graphic>
          </wp:inline>
        </w:drawing>
      </w:r>
    </w:p>
    <w:sectPr w:rsidR="00C94C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606"/>
    <w:multiLevelType w:val="hybridMultilevel"/>
    <w:tmpl w:val="44E67E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7A537B"/>
    <w:multiLevelType w:val="hybridMultilevel"/>
    <w:tmpl w:val="A866D0DA"/>
    <w:lvl w:ilvl="0" w:tplc="FBF0ACC6">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9DF3A0E"/>
    <w:multiLevelType w:val="hybridMultilevel"/>
    <w:tmpl w:val="BB70314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CD73522"/>
    <w:multiLevelType w:val="hybridMultilevel"/>
    <w:tmpl w:val="1EF2955A"/>
    <w:lvl w:ilvl="0" w:tplc="FBF0ACC6">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E643740"/>
    <w:multiLevelType w:val="hybridMultilevel"/>
    <w:tmpl w:val="8E9207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33A4CB4"/>
    <w:multiLevelType w:val="hybridMultilevel"/>
    <w:tmpl w:val="A3FA27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BBC2DCA"/>
    <w:multiLevelType w:val="hybridMultilevel"/>
    <w:tmpl w:val="796471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4B277A3"/>
    <w:multiLevelType w:val="hybridMultilevel"/>
    <w:tmpl w:val="D59424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58647CB"/>
    <w:multiLevelType w:val="hybridMultilevel"/>
    <w:tmpl w:val="FCF63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F7A233B"/>
    <w:multiLevelType w:val="hybridMultilevel"/>
    <w:tmpl w:val="882A5576"/>
    <w:lvl w:ilvl="0" w:tplc="FBF0ACC6">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F2D6479"/>
    <w:multiLevelType w:val="hybridMultilevel"/>
    <w:tmpl w:val="ACC6C0C0"/>
    <w:lvl w:ilvl="0" w:tplc="0C6A969E">
      <w:numFmt w:val="bullet"/>
      <w:lvlText w:val="-"/>
      <w:lvlJc w:val="left"/>
      <w:pPr>
        <w:ind w:left="1068" w:hanging="360"/>
      </w:pPr>
      <w:rPr>
        <w:rFonts w:ascii="Calibri" w:eastAsia="Calibri" w:hAnsi="Calibri"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nsid w:val="7BBE6EEE"/>
    <w:multiLevelType w:val="hybridMultilevel"/>
    <w:tmpl w:val="D1E28C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E1B1B82"/>
    <w:multiLevelType w:val="hybridMultilevel"/>
    <w:tmpl w:val="1FB02E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6"/>
  </w:num>
  <w:num w:numId="5">
    <w:abstractNumId w:val="11"/>
  </w:num>
  <w:num w:numId="6">
    <w:abstractNumId w:val="10"/>
  </w:num>
  <w:num w:numId="7">
    <w:abstractNumId w:val="4"/>
  </w:num>
  <w:num w:numId="8">
    <w:abstractNumId w:val="0"/>
  </w:num>
  <w:num w:numId="9">
    <w:abstractNumId w:val="2"/>
  </w:num>
  <w:num w:numId="10">
    <w:abstractNumId w:val="7"/>
  </w:num>
  <w:num w:numId="11">
    <w:abstractNumId w:val="5"/>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F10"/>
    <w:rsid w:val="00022D4B"/>
    <w:rsid w:val="00047382"/>
    <w:rsid w:val="000573D1"/>
    <w:rsid w:val="00081E04"/>
    <w:rsid w:val="000858CD"/>
    <w:rsid w:val="0008720A"/>
    <w:rsid w:val="000B7FA8"/>
    <w:rsid w:val="0014558F"/>
    <w:rsid w:val="001B2F6B"/>
    <w:rsid w:val="00213654"/>
    <w:rsid w:val="002F74A3"/>
    <w:rsid w:val="00324D51"/>
    <w:rsid w:val="00365730"/>
    <w:rsid w:val="0037362B"/>
    <w:rsid w:val="003928B1"/>
    <w:rsid w:val="003F11D5"/>
    <w:rsid w:val="004031B1"/>
    <w:rsid w:val="00427BC2"/>
    <w:rsid w:val="00472F10"/>
    <w:rsid w:val="00480044"/>
    <w:rsid w:val="00487CB8"/>
    <w:rsid w:val="004F4C30"/>
    <w:rsid w:val="005547E5"/>
    <w:rsid w:val="005602A4"/>
    <w:rsid w:val="005B1E3B"/>
    <w:rsid w:val="006036B3"/>
    <w:rsid w:val="00653E48"/>
    <w:rsid w:val="00687001"/>
    <w:rsid w:val="00770F47"/>
    <w:rsid w:val="007C5B2B"/>
    <w:rsid w:val="007E0282"/>
    <w:rsid w:val="007E03EE"/>
    <w:rsid w:val="00821F79"/>
    <w:rsid w:val="008675C8"/>
    <w:rsid w:val="0088508D"/>
    <w:rsid w:val="008E1C39"/>
    <w:rsid w:val="009E451F"/>
    <w:rsid w:val="009F71D6"/>
    <w:rsid w:val="00A136FA"/>
    <w:rsid w:val="00A13EB0"/>
    <w:rsid w:val="00A606E4"/>
    <w:rsid w:val="00A95D0E"/>
    <w:rsid w:val="00AA0416"/>
    <w:rsid w:val="00AC0A1B"/>
    <w:rsid w:val="00AC61BA"/>
    <w:rsid w:val="00AC64CA"/>
    <w:rsid w:val="00B02707"/>
    <w:rsid w:val="00B30F51"/>
    <w:rsid w:val="00B33BB1"/>
    <w:rsid w:val="00B3494F"/>
    <w:rsid w:val="00B8031D"/>
    <w:rsid w:val="00B87D1A"/>
    <w:rsid w:val="00BA1A3C"/>
    <w:rsid w:val="00BF631A"/>
    <w:rsid w:val="00C15C1C"/>
    <w:rsid w:val="00C24C62"/>
    <w:rsid w:val="00C64D9B"/>
    <w:rsid w:val="00C93E97"/>
    <w:rsid w:val="00C94C7E"/>
    <w:rsid w:val="00D60324"/>
    <w:rsid w:val="00DE60C0"/>
    <w:rsid w:val="00DF1BE6"/>
    <w:rsid w:val="00EB2376"/>
    <w:rsid w:val="00EF1121"/>
    <w:rsid w:val="00F034AE"/>
    <w:rsid w:val="00F13007"/>
    <w:rsid w:val="00FA29BB"/>
    <w:rsid w:val="00FB352B"/>
    <w:rsid w:val="00FF27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4031B1"/>
    <w:pPr>
      <w:keepNext/>
      <w:keepLines/>
      <w:spacing w:before="240" w:after="0"/>
      <w:outlineLvl w:val="0"/>
    </w:pPr>
    <w:rPr>
      <w:rFonts w:ascii="Calibri Light" w:eastAsia="Times New Roman" w:hAnsi="Calibri Light"/>
      <w:color w:val="2E74B5"/>
      <w:sz w:val="32"/>
      <w:szCs w:val="32"/>
    </w:rPr>
  </w:style>
  <w:style w:type="paragraph" w:styleId="Ttulo2">
    <w:name w:val="heading 2"/>
    <w:basedOn w:val="Normal"/>
    <w:next w:val="Normal"/>
    <w:link w:val="Ttulo2Car"/>
    <w:uiPriority w:val="9"/>
    <w:unhideWhenUsed/>
    <w:qFormat/>
    <w:rsid w:val="004031B1"/>
    <w:pPr>
      <w:keepNext/>
      <w:keepLines/>
      <w:spacing w:before="40" w:after="0"/>
      <w:outlineLvl w:val="1"/>
    </w:pPr>
    <w:rPr>
      <w:rFonts w:ascii="Calibri Light" w:eastAsia="Times New Roman" w:hAnsi="Calibri Light"/>
      <w:color w:val="2E74B5"/>
      <w:sz w:val="26"/>
      <w:szCs w:val="26"/>
    </w:rPr>
  </w:style>
  <w:style w:type="paragraph" w:styleId="Ttulo3">
    <w:name w:val="heading 3"/>
    <w:basedOn w:val="Normal"/>
    <w:next w:val="Normal"/>
    <w:link w:val="Ttulo3Car"/>
    <w:uiPriority w:val="9"/>
    <w:unhideWhenUsed/>
    <w:qFormat/>
    <w:rsid w:val="004031B1"/>
    <w:pPr>
      <w:keepNext/>
      <w:keepLines/>
      <w:spacing w:before="40" w:after="0"/>
      <w:outlineLvl w:val="2"/>
    </w:pPr>
    <w:rPr>
      <w:rFonts w:ascii="Calibri Light" w:eastAsia="Times New Roman" w:hAnsi="Calibri Light"/>
      <w:color w:val="1F4D78"/>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4031B1"/>
    <w:rPr>
      <w:rFonts w:ascii="Calibri Light" w:eastAsia="Times New Roman" w:hAnsi="Calibri Light" w:cs="Times New Roman"/>
      <w:color w:val="2E74B5"/>
      <w:sz w:val="32"/>
      <w:szCs w:val="32"/>
    </w:rPr>
  </w:style>
  <w:style w:type="character" w:customStyle="1" w:styleId="Ttulo2Car">
    <w:name w:val="Título 2 Car"/>
    <w:link w:val="Ttulo2"/>
    <w:uiPriority w:val="9"/>
    <w:rsid w:val="004031B1"/>
    <w:rPr>
      <w:rFonts w:ascii="Calibri Light" w:eastAsia="Times New Roman" w:hAnsi="Calibri Light" w:cs="Times New Roman"/>
      <w:color w:val="2E74B5"/>
      <w:sz w:val="26"/>
      <w:szCs w:val="26"/>
    </w:rPr>
  </w:style>
  <w:style w:type="character" w:customStyle="1" w:styleId="Ttulo3Car">
    <w:name w:val="Título 3 Car"/>
    <w:link w:val="Ttulo3"/>
    <w:uiPriority w:val="9"/>
    <w:rsid w:val="004031B1"/>
    <w:rPr>
      <w:rFonts w:ascii="Calibri Light" w:eastAsia="Times New Roman" w:hAnsi="Calibri Light" w:cs="Times New Roman"/>
      <w:color w:val="1F4D78"/>
      <w:sz w:val="24"/>
      <w:szCs w:val="24"/>
    </w:rPr>
  </w:style>
  <w:style w:type="paragraph" w:styleId="Prrafodelista">
    <w:name w:val="List Paragraph"/>
    <w:basedOn w:val="Normal"/>
    <w:uiPriority w:val="34"/>
    <w:qFormat/>
    <w:rsid w:val="004031B1"/>
    <w:pPr>
      <w:ind w:left="720"/>
      <w:contextualSpacing/>
    </w:pPr>
  </w:style>
  <w:style w:type="character" w:styleId="Hipervnculo">
    <w:name w:val="Hyperlink"/>
    <w:uiPriority w:val="99"/>
    <w:unhideWhenUsed/>
    <w:rsid w:val="004031B1"/>
    <w:rPr>
      <w:color w:val="0563C1"/>
      <w:u w:val="single"/>
    </w:rPr>
  </w:style>
  <w:style w:type="paragraph" w:styleId="Textodeglobo">
    <w:name w:val="Balloon Text"/>
    <w:basedOn w:val="Normal"/>
    <w:link w:val="TextodegloboCar"/>
    <w:uiPriority w:val="99"/>
    <w:semiHidden/>
    <w:unhideWhenUsed/>
    <w:rsid w:val="00DE60C0"/>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E60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4031B1"/>
    <w:pPr>
      <w:keepNext/>
      <w:keepLines/>
      <w:spacing w:before="240" w:after="0"/>
      <w:outlineLvl w:val="0"/>
    </w:pPr>
    <w:rPr>
      <w:rFonts w:ascii="Calibri Light" w:eastAsia="Times New Roman" w:hAnsi="Calibri Light"/>
      <w:color w:val="2E74B5"/>
      <w:sz w:val="32"/>
      <w:szCs w:val="32"/>
    </w:rPr>
  </w:style>
  <w:style w:type="paragraph" w:styleId="Ttulo2">
    <w:name w:val="heading 2"/>
    <w:basedOn w:val="Normal"/>
    <w:next w:val="Normal"/>
    <w:link w:val="Ttulo2Car"/>
    <w:uiPriority w:val="9"/>
    <w:unhideWhenUsed/>
    <w:qFormat/>
    <w:rsid w:val="004031B1"/>
    <w:pPr>
      <w:keepNext/>
      <w:keepLines/>
      <w:spacing w:before="40" w:after="0"/>
      <w:outlineLvl w:val="1"/>
    </w:pPr>
    <w:rPr>
      <w:rFonts w:ascii="Calibri Light" w:eastAsia="Times New Roman" w:hAnsi="Calibri Light"/>
      <w:color w:val="2E74B5"/>
      <w:sz w:val="26"/>
      <w:szCs w:val="26"/>
    </w:rPr>
  </w:style>
  <w:style w:type="paragraph" w:styleId="Ttulo3">
    <w:name w:val="heading 3"/>
    <w:basedOn w:val="Normal"/>
    <w:next w:val="Normal"/>
    <w:link w:val="Ttulo3Car"/>
    <w:uiPriority w:val="9"/>
    <w:unhideWhenUsed/>
    <w:qFormat/>
    <w:rsid w:val="004031B1"/>
    <w:pPr>
      <w:keepNext/>
      <w:keepLines/>
      <w:spacing w:before="40" w:after="0"/>
      <w:outlineLvl w:val="2"/>
    </w:pPr>
    <w:rPr>
      <w:rFonts w:ascii="Calibri Light" w:eastAsia="Times New Roman" w:hAnsi="Calibri Light"/>
      <w:color w:val="1F4D78"/>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4031B1"/>
    <w:rPr>
      <w:rFonts w:ascii="Calibri Light" w:eastAsia="Times New Roman" w:hAnsi="Calibri Light" w:cs="Times New Roman"/>
      <w:color w:val="2E74B5"/>
      <w:sz w:val="32"/>
      <w:szCs w:val="32"/>
    </w:rPr>
  </w:style>
  <w:style w:type="character" w:customStyle="1" w:styleId="Ttulo2Car">
    <w:name w:val="Título 2 Car"/>
    <w:link w:val="Ttulo2"/>
    <w:uiPriority w:val="9"/>
    <w:rsid w:val="004031B1"/>
    <w:rPr>
      <w:rFonts w:ascii="Calibri Light" w:eastAsia="Times New Roman" w:hAnsi="Calibri Light" w:cs="Times New Roman"/>
      <w:color w:val="2E74B5"/>
      <w:sz w:val="26"/>
      <w:szCs w:val="26"/>
    </w:rPr>
  </w:style>
  <w:style w:type="character" w:customStyle="1" w:styleId="Ttulo3Car">
    <w:name w:val="Título 3 Car"/>
    <w:link w:val="Ttulo3"/>
    <w:uiPriority w:val="9"/>
    <w:rsid w:val="004031B1"/>
    <w:rPr>
      <w:rFonts w:ascii="Calibri Light" w:eastAsia="Times New Roman" w:hAnsi="Calibri Light" w:cs="Times New Roman"/>
      <w:color w:val="1F4D78"/>
      <w:sz w:val="24"/>
      <w:szCs w:val="24"/>
    </w:rPr>
  </w:style>
  <w:style w:type="paragraph" w:styleId="Prrafodelista">
    <w:name w:val="List Paragraph"/>
    <w:basedOn w:val="Normal"/>
    <w:uiPriority w:val="34"/>
    <w:qFormat/>
    <w:rsid w:val="004031B1"/>
    <w:pPr>
      <w:ind w:left="720"/>
      <w:contextualSpacing/>
    </w:pPr>
  </w:style>
  <w:style w:type="character" w:styleId="Hipervnculo">
    <w:name w:val="Hyperlink"/>
    <w:uiPriority w:val="99"/>
    <w:unhideWhenUsed/>
    <w:rsid w:val="004031B1"/>
    <w:rPr>
      <w:color w:val="0563C1"/>
      <w:u w:val="single"/>
    </w:rPr>
  </w:style>
  <w:style w:type="paragraph" w:styleId="Textodeglobo">
    <w:name w:val="Balloon Text"/>
    <w:basedOn w:val="Normal"/>
    <w:link w:val="TextodegloboCar"/>
    <w:uiPriority w:val="99"/>
    <w:semiHidden/>
    <w:unhideWhenUsed/>
    <w:rsid w:val="00DE60C0"/>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E60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1120</Words>
  <Characters>6160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Víctor Braquehais Acero</dc:creator>
  <cp:lastModifiedBy>adm</cp:lastModifiedBy>
  <cp:revision>2</cp:revision>
  <dcterms:created xsi:type="dcterms:W3CDTF">2019-11-19T08:14:00Z</dcterms:created>
  <dcterms:modified xsi:type="dcterms:W3CDTF">2019-11-19T08:14:00Z</dcterms:modified>
</cp:coreProperties>
</file>